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08.05.2026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MAX</w:t>
      </w:r>
      <w:r>
        <w:rPr>
          <w:rFonts w:ascii="Times New Roman" w:hAnsi="Times New Roman"/>
          <w:sz w:val="27"/>
        </w:rPr>
        <w:t>-канале прокуратуры области.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И.о. городск</w:t>
            </w:r>
            <w:r>
              <w:rPr>
                <w:rFonts w:ascii="Times New Roman" w:hAnsi="Times New Roman"/>
                <w:sz w:val="27"/>
              </w:rPr>
              <w:t>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рокурора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В.А. Потапкин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Подпорожская городская прокуратура</w:t>
      </w:r>
      <w:r>
        <w:rPr>
          <w:rStyle w:val="Style_4_ch"/>
          <w:rFonts w:ascii="Times New Roman" w:hAnsi="Times New Roman"/>
          <w:b w:val="1"/>
          <w:sz w:val="28"/>
        </w:rPr>
        <w:t xml:space="preserve"> приняла участие в памятном мероприятии, посвященном открытию «Парты героя» в </w:t>
      </w:r>
      <w:r>
        <w:rPr>
          <w:rStyle w:val="Style_4_ch"/>
          <w:rFonts w:ascii="Times New Roman" w:hAnsi="Times New Roman"/>
          <w:b w:val="1"/>
          <w:sz w:val="28"/>
        </w:rPr>
        <w:t>МБОУ «Подпорожская СОШ №8»</w:t>
      </w:r>
      <w:r>
        <w:rPr>
          <w:rStyle w:val="Style_4_ch"/>
          <w:rFonts w:ascii="Times New Roman" w:hAnsi="Times New Roman"/>
          <w:b w:val="1"/>
          <w:sz w:val="28"/>
        </w:rPr>
        <w:t>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8"/>
        </w:rPr>
        <w:t xml:space="preserve">Городской прокуратурой </w:t>
      </w:r>
      <w:r>
        <w:rPr>
          <w:rFonts w:ascii="Times New Roman" w:hAnsi="Times New Roman"/>
          <w:b w:val="0"/>
          <w:sz w:val="27"/>
        </w:rPr>
        <w:t xml:space="preserve">в преддверии Дня Великой Победы принято участие в памятном мероприятии открытия в </w:t>
      </w:r>
      <w:r>
        <w:rPr>
          <w:rFonts w:ascii="Times New Roman" w:hAnsi="Times New Roman"/>
          <w:b w:val="0"/>
          <w:sz w:val="28"/>
        </w:rPr>
        <w:t xml:space="preserve">МБОУ «Подпорожская СОШ №8» </w:t>
      </w:r>
      <w:r>
        <w:rPr>
          <w:rFonts w:ascii="Times New Roman" w:hAnsi="Times New Roman"/>
          <w:b w:val="0"/>
          <w:sz w:val="27"/>
        </w:rPr>
        <w:t>«Парты героя» – Прошкина Василия Валентиновича, стрелка войсковой части 13140, гвардии старшины 2 статьи, погибшего при выполнении боевой задачи 30.10.2024 в ходе проведения специальной военной операции.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рамках мероприятия работники прокуратуры совместно с главой администрации, главой Подпорожского </w:t>
      </w:r>
      <w:r>
        <w:rPr>
          <w:rFonts w:ascii="Times New Roman" w:hAnsi="Times New Roman"/>
          <w:b w:val="0"/>
          <w:sz w:val="28"/>
        </w:rPr>
        <w:t xml:space="preserve">муниципального </w:t>
      </w:r>
      <w:r>
        <w:rPr>
          <w:rFonts w:ascii="Times New Roman" w:hAnsi="Times New Roman"/>
          <w:b w:val="0"/>
          <w:sz w:val="28"/>
        </w:rPr>
        <w:t xml:space="preserve">района, представителями Подпорожского районного отделения «Боевое братство», а также вице-губернатором Ленинградской области по социальным вопросам возложили цветы к мемориальной доске и парте героя. 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Практика подобных встреч будет продолжена.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2026-05-08T12:10:18Z</dcterms:modified>
</cp:coreProperties>
</file>